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center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bookmarkStart w:id="0" w:name="_GoBack"/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Нарушение правил пользования канализацией, приводит к частым засорам.</w:t>
      </w:r>
    </w:p>
    <w:bookmarkEnd w:id="0"/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Жители домов часто допускают попадание в канализацию бытового и строительного мусора, средств личной гигиены, тряпок, кошачьих туалетов, средств контрацепции и т.д. Это приводит к засорам канализационных труб, неприятному запаху и подтоплению квартир, расположенных на нижних этажах, а так же подвала и дворовой территории. Запах нечистот значительно снижает качество проживания в помещениях дома.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proofErr w:type="gramStart"/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В соответствии с Пунктом 4 ст. 30 Жилищного Кодекса РФ ЖК «Права и обязанности собственника жилого помещения»,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содержание общего имущества собственников помещения в многоквартирном доме.</w:t>
      </w:r>
      <w:proofErr w:type="gramEnd"/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В соответствии с Постановлением Госстроя РФ от 27.09.2003г. №170 «Об утверждении Правил и норм технической эксплуатации жилищного фонда» собственники помещений (жители) должны соблюдать следующие правила пользования водопроводом и канализацией: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а) содержать в чистоте унитазы, раковины и умывальники;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б) не допускать поломок, установленных в квартире санитарных приборов и арматуры;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в) не выливать в унитазы, раковины и умывальники легковоспламеняющиеся жидкости и кислоты;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г) не бросать в унитазы песок, строительный мусор, тряпки, кости, стекло, металлические и деревянные предметы, наполнители для туалетов домашних питомцев, памперсы;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е) не пользоваться санитарными приборами в случае засора в канализационной сети;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lastRenderedPageBreak/>
        <w:t>ж) немедленно сообщать эксплуатационному персоналу обо всех неисправностях системы водопровода и канализации;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 xml:space="preserve">з) </w:t>
      </w:r>
      <w:proofErr w:type="gramStart"/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оберегать санитарные приборы и открыто</w:t>
      </w:r>
      <w:proofErr w:type="gramEnd"/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 xml:space="preserve"> проложенные трубопроводы от ударов, механических нагрузок;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ударов, нанесения царапин на трубах, красить полиэтиленовые трубы и привязывать к ним веревки;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:rsidR="00B63B4A" w:rsidRPr="00B63B4A" w:rsidRDefault="00B63B4A" w:rsidP="00B63B4A">
      <w:pPr>
        <w:shd w:val="clear" w:color="auto" w:fill="FFFFFF"/>
        <w:spacing w:after="100" w:afterAutospacing="1" w:line="405" w:lineRule="atLeast"/>
        <w:jc w:val="both"/>
        <w:rPr>
          <w:rFonts w:ascii="Arial" w:eastAsia="Times New Roman" w:hAnsi="Arial" w:cs="Arial"/>
          <w:color w:val="34404C"/>
          <w:sz w:val="21"/>
          <w:szCs w:val="21"/>
          <w:lang w:eastAsia="ru-RU"/>
        </w:rPr>
      </w:pPr>
      <w:r w:rsidRPr="00B63B4A">
        <w:rPr>
          <w:rFonts w:ascii="Arial" w:eastAsia="Times New Roman" w:hAnsi="Arial" w:cs="Arial"/>
          <w:color w:val="34404C"/>
          <w:sz w:val="21"/>
          <w:szCs w:val="21"/>
          <w:lang w:eastAsia="ru-RU"/>
        </w:rPr>
        <w:t> Надеемся на Ваше понимание и соблюдение этих простых правил. Это в наших общих интересах. Уважайте себя и других жителей Вашего дома!!!!</w:t>
      </w:r>
    </w:p>
    <w:p w:rsidR="0020247A" w:rsidRDefault="00B63B4A" w:rsidP="00B63B4A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809264" wp14:editId="097CE44B">
            <wp:extent cx="9363075" cy="6762750"/>
            <wp:effectExtent l="0" t="0" r="9525" b="0"/>
            <wp:docPr id="4" name="Рисунок 4" descr="https://ukstandart.ru/wp-content/uploads/2021/04/213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standart.ru/wp-content/uploads/2021/04/2132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4EBC2F" wp14:editId="42960D9F">
            <wp:extent cx="9525000" cy="6734175"/>
            <wp:effectExtent l="0" t="0" r="0" b="9525"/>
            <wp:docPr id="3" name="Рисунок 3" descr="https://ukstandart.ru/wp-content/uploads/2021/04/213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kstandart.ru/wp-content/uploads/2021/04/2133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956F98" wp14:editId="2CE6E419">
            <wp:extent cx="9753600" cy="7743825"/>
            <wp:effectExtent l="0" t="0" r="0" b="9525"/>
            <wp:docPr id="2" name="Рисунок 2" descr="https://ukstandart.ru/wp-content/uploads/2021/04/213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kstandart.ru/wp-content/uploads/2021/04/2134_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C970AB" wp14:editId="3AF424F1">
            <wp:extent cx="5753100" cy="3543300"/>
            <wp:effectExtent l="0" t="0" r="0" b="0"/>
            <wp:docPr id="1" name="Рисунок 1" descr="https://ukstandart.ru/wp-content/uploads/2021/04/213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kstandart.ru/wp-content/uploads/2021/04/2135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47A" w:rsidSect="00B63B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C4"/>
    <w:rsid w:val="0020247A"/>
    <w:rsid w:val="00AD3FC4"/>
    <w:rsid w:val="00B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B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B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B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6033-0214-4079-80B4-BF0F561A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2024-05-02T07:53:00Z</dcterms:created>
  <dcterms:modified xsi:type="dcterms:W3CDTF">2024-05-02T07:53:00Z</dcterms:modified>
</cp:coreProperties>
</file>